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C8BF" w14:textId="55942692" w:rsidR="00BC3DF8" w:rsidRPr="00FD1C9B" w:rsidRDefault="00BC3DF8" w:rsidP="003C4496">
      <w:pPr>
        <w:pBdr>
          <w:bottom w:val="single" w:sz="24" w:space="1" w:color="BF4E14" w:themeColor="accent2" w:themeShade="BF"/>
        </w:pBdr>
        <w:jc w:val="both"/>
        <w:rPr>
          <w:b/>
          <w:bCs/>
          <w:color w:val="BF4E14" w:themeColor="accent2" w:themeShade="BF"/>
          <w:sz w:val="32"/>
          <w:szCs w:val="32"/>
        </w:rPr>
      </w:pPr>
      <w:proofErr w:type="spellStart"/>
      <w:r w:rsidRPr="00FD1C9B">
        <w:rPr>
          <w:b/>
          <w:bCs/>
          <w:color w:val="BF4E14" w:themeColor="accent2" w:themeShade="BF"/>
          <w:sz w:val="32"/>
          <w:szCs w:val="32"/>
        </w:rPr>
        <w:t>Just</w:t>
      </w:r>
      <w:proofErr w:type="spellEnd"/>
      <w:r w:rsidRPr="00FD1C9B">
        <w:rPr>
          <w:b/>
          <w:bCs/>
          <w:color w:val="BF4E14" w:themeColor="accent2" w:themeShade="BF"/>
          <w:sz w:val="32"/>
          <w:szCs w:val="32"/>
        </w:rPr>
        <w:t xml:space="preserve"> </w:t>
      </w:r>
      <w:proofErr w:type="spellStart"/>
      <w:r w:rsidRPr="00FD1C9B">
        <w:rPr>
          <w:b/>
          <w:bCs/>
          <w:color w:val="BF4E14" w:themeColor="accent2" w:themeShade="BF"/>
          <w:sz w:val="32"/>
          <w:szCs w:val="32"/>
        </w:rPr>
        <w:t>two</w:t>
      </w:r>
      <w:proofErr w:type="spellEnd"/>
      <w:r w:rsidRPr="00FD1C9B">
        <w:rPr>
          <w:b/>
          <w:bCs/>
          <w:color w:val="BF4E14" w:themeColor="accent2" w:themeShade="BF"/>
          <w:sz w:val="32"/>
          <w:szCs w:val="32"/>
        </w:rPr>
        <w:t xml:space="preserve"> </w:t>
      </w:r>
      <w:proofErr w:type="spellStart"/>
      <w:r w:rsidRPr="00FD1C9B">
        <w:rPr>
          <w:b/>
          <w:bCs/>
          <w:color w:val="BF4E14" w:themeColor="accent2" w:themeShade="BF"/>
          <w:sz w:val="32"/>
          <w:szCs w:val="32"/>
        </w:rPr>
        <w:t>steps</w:t>
      </w:r>
      <w:proofErr w:type="spellEnd"/>
      <w:r w:rsidRPr="00FD1C9B">
        <w:rPr>
          <w:b/>
          <w:bCs/>
          <w:color w:val="BF4E14" w:themeColor="accent2" w:themeShade="BF"/>
          <w:sz w:val="32"/>
          <w:szCs w:val="32"/>
        </w:rPr>
        <w:t xml:space="preserve"> (Csak két lépés): a</w:t>
      </w:r>
      <w:r w:rsidR="00F97094" w:rsidRPr="00FD1C9B">
        <w:rPr>
          <w:b/>
          <w:bCs/>
          <w:color w:val="BF4E14" w:themeColor="accent2" w:themeShade="BF"/>
          <w:sz w:val="32"/>
          <w:szCs w:val="32"/>
        </w:rPr>
        <w:t xml:space="preserve">z </w:t>
      </w:r>
      <w:proofErr w:type="spellStart"/>
      <w:r w:rsidR="00F97094" w:rsidRPr="00FD1C9B">
        <w:rPr>
          <w:b/>
          <w:bCs/>
          <w:color w:val="BF4E14" w:themeColor="accent2" w:themeShade="BF"/>
          <w:sz w:val="32"/>
          <w:szCs w:val="32"/>
        </w:rPr>
        <w:t>inklúzió</w:t>
      </w:r>
      <w:proofErr w:type="spellEnd"/>
      <w:r w:rsidR="00F97094" w:rsidRPr="00FD1C9B">
        <w:rPr>
          <w:b/>
          <w:bCs/>
          <w:color w:val="BF4E14" w:themeColor="accent2" w:themeShade="BF"/>
          <w:sz w:val="32"/>
          <w:szCs w:val="32"/>
        </w:rPr>
        <w:t xml:space="preserve"> </w:t>
      </w:r>
      <w:r w:rsidRPr="00FD1C9B">
        <w:rPr>
          <w:b/>
          <w:bCs/>
          <w:color w:val="BF4E14" w:themeColor="accent2" w:themeShade="BF"/>
          <w:sz w:val="32"/>
          <w:szCs w:val="32"/>
        </w:rPr>
        <w:t>és a részvétel iskolái</w:t>
      </w:r>
    </w:p>
    <w:p w14:paraId="115228B9" w14:textId="77777777" w:rsidR="00BC3DF8" w:rsidRDefault="00BC3DF8" w:rsidP="003C4496">
      <w:pPr>
        <w:jc w:val="both"/>
      </w:pPr>
    </w:p>
    <w:p w14:paraId="17F0F2D0" w14:textId="77777777" w:rsidR="00BC3DF8" w:rsidRPr="009A65AF" w:rsidRDefault="00BC3DF8" w:rsidP="003C4496">
      <w:pPr>
        <w:jc w:val="both"/>
        <w:rPr>
          <w:b/>
          <w:bCs/>
          <w:color w:val="BF4E14" w:themeColor="accent2" w:themeShade="BF"/>
        </w:rPr>
      </w:pPr>
      <w:r w:rsidRPr="009A65AF">
        <w:rPr>
          <w:b/>
          <w:bCs/>
          <w:color w:val="BF4E14" w:themeColor="accent2" w:themeShade="BF"/>
        </w:rPr>
        <w:t>Cím</w:t>
      </w:r>
    </w:p>
    <w:p w14:paraId="119FD27B" w14:textId="0C65D48C" w:rsidR="00BC3DF8" w:rsidRDefault="00BC3DF8" w:rsidP="003C4496">
      <w:pPr>
        <w:jc w:val="both"/>
      </w:pPr>
      <w:proofErr w:type="spellStart"/>
      <w:r>
        <w:t>Just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: </w:t>
      </w:r>
      <w:proofErr w:type="spellStart"/>
      <w:r w:rsidR="00015696">
        <w:t>inklúzió</w:t>
      </w:r>
      <w:proofErr w:type="spellEnd"/>
      <w:r w:rsidR="00015696">
        <w:t xml:space="preserve"> és részvétel az iskolákban</w:t>
      </w:r>
    </w:p>
    <w:p w14:paraId="3B5A8603" w14:textId="77777777" w:rsidR="00BC3DF8" w:rsidRPr="009A65AF" w:rsidRDefault="00BC3DF8" w:rsidP="003C4496">
      <w:pPr>
        <w:jc w:val="both"/>
        <w:rPr>
          <w:b/>
          <w:bCs/>
          <w:color w:val="BF4E14" w:themeColor="accent2" w:themeShade="BF"/>
        </w:rPr>
      </w:pPr>
      <w:r w:rsidRPr="009A65AF">
        <w:rPr>
          <w:b/>
          <w:bCs/>
          <w:color w:val="BF4E14" w:themeColor="accent2" w:themeShade="BF"/>
        </w:rPr>
        <w:t>Időtartam</w:t>
      </w:r>
    </w:p>
    <w:p w14:paraId="1AD3E5F4" w14:textId="77777777" w:rsidR="00BC3DF8" w:rsidRDefault="00BC3DF8" w:rsidP="003C4496">
      <w:pPr>
        <w:jc w:val="both"/>
      </w:pPr>
      <w:r>
        <w:t>2024. február 1. – 2025. március 31</w:t>
      </w:r>
    </w:p>
    <w:p w14:paraId="4E297258" w14:textId="2280002E" w:rsidR="00BC3DF8" w:rsidRDefault="00BC3DF8" w:rsidP="003C4496">
      <w:pPr>
        <w:jc w:val="both"/>
        <w:rPr>
          <w:b/>
          <w:bCs/>
          <w:color w:val="BF4E14" w:themeColor="accent2" w:themeShade="BF"/>
        </w:rPr>
      </w:pPr>
      <w:r w:rsidRPr="009A65AF">
        <w:rPr>
          <w:b/>
          <w:bCs/>
          <w:color w:val="BF4E14" w:themeColor="accent2" w:themeShade="BF"/>
        </w:rPr>
        <w:t>Vezető partner</w:t>
      </w:r>
    </w:p>
    <w:p w14:paraId="4B86FFAB" w14:textId="2304DB66" w:rsidR="00FD1C9B" w:rsidRPr="009A65AF" w:rsidRDefault="00B324E3" w:rsidP="003C4496">
      <w:pPr>
        <w:jc w:val="both"/>
        <w:rPr>
          <w:b/>
          <w:bCs/>
          <w:color w:val="BF4E14" w:themeColor="accent2" w:themeShade="BF"/>
        </w:rPr>
      </w:pPr>
      <w:r>
        <w:rPr>
          <w:b/>
          <w:bCs/>
          <w:noProof/>
          <w:color w:val="BF4E14" w:themeColor="accent2" w:themeShade="BF"/>
        </w:rPr>
        <w:drawing>
          <wp:inline distT="0" distB="0" distL="0" distR="0" wp14:anchorId="0C618C22" wp14:editId="6203D053">
            <wp:extent cx="469900" cy="332277"/>
            <wp:effectExtent l="0" t="0" r="6350" b="0"/>
            <wp:docPr id="452014613" name="Kép 1" descr="A képen szöveg, Grafika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14613" name="Kép 1" descr="A képen szöveg, Grafika, Grafikus tervezés, embléma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02" cy="3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765B" w14:textId="54513155" w:rsidR="00BC3DF8" w:rsidRDefault="00BC3DF8" w:rsidP="003C4496">
      <w:pPr>
        <w:jc w:val="both"/>
      </w:pPr>
      <w:r>
        <w:t xml:space="preserve">CBM </w:t>
      </w:r>
      <w:proofErr w:type="spellStart"/>
      <w:r>
        <w:t>Italia</w:t>
      </w:r>
      <w:proofErr w:type="spellEnd"/>
      <w:r w:rsidR="00FD1C9B">
        <w:t xml:space="preserve"> </w:t>
      </w:r>
    </w:p>
    <w:p w14:paraId="570D5979" w14:textId="1DCFD684" w:rsidR="00BC3DF8" w:rsidRPr="009A65AF" w:rsidRDefault="00BC3DF8" w:rsidP="003C4496">
      <w:pPr>
        <w:jc w:val="both"/>
        <w:rPr>
          <w:b/>
          <w:bCs/>
          <w:color w:val="BF4E14" w:themeColor="accent2" w:themeShade="BF"/>
        </w:rPr>
      </w:pPr>
      <w:r w:rsidRPr="009A65AF">
        <w:rPr>
          <w:b/>
          <w:bCs/>
          <w:color w:val="BF4E14" w:themeColor="accent2" w:themeShade="BF"/>
        </w:rPr>
        <w:t>Partnerek</w:t>
      </w:r>
    </w:p>
    <w:p w14:paraId="362E5DAF" w14:textId="75881768" w:rsidR="00BC3DF8" w:rsidRDefault="00BC3DF8" w:rsidP="003C4496">
      <w:pPr>
        <w:jc w:val="both"/>
      </w:pPr>
      <w:proofErr w:type="spellStart"/>
      <w:r>
        <w:t>Istituto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Sordi</w:t>
      </w:r>
      <w:proofErr w:type="spellEnd"/>
      <w:r>
        <w:t xml:space="preserve"> di Torino Alapítvány, Budapesti Vakok Iskolája</w:t>
      </w:r>
    </w:p>
    <w:p w14:paraId="2BCCDD8A" w14:textId="2D4179D5" w:rsidR="00BC3DF8" w:rsidRPr="009A65AF" w:rsidRDefault="00777AB3" w:rsidP="003C4496">
      <w:pPr>
        <w:jc w:val="both"/>
        <w:rPr>
          <w:b/>
          <w:bCs/>
          <w:color w:val="BF4E14" w:themeColor="accent2" w:themeShade="BF"/>
        </w:rPr>
      </w:pPr>
      <w:r>
        <w:rPr>
          <w:b/>
          <w:bCs/>
          <w:color w:val="BF4E14" w:themeColor="accent2" w:themeShade="BF"/>
        </w:rPr>
        <w:t>Finanszírozó</w:t>
      </w:r>
    </w:p>
    <w:p w14:paraId="6D5BBE3D" w14:textId="22B98DF8" w:rsidR="00BC3DF8" w:rsidRDefault="00F97094" w:rsidP="003C4496">
      <w:pPr>
        <w:jc w:val="both"/>
      </w:pPr>
      <w:r>
        <w:t xml:space="preserve">Az </w:t>
      </w:r>
      <w:r w:rsidR="00BC3DF8">
        <w:t>Európai Unió az Erasmus+ program keretében - KA210-SCH - Kisléptékű partnerségek</w:t>
      </w:r>
      <w:r>
        <w:t xml:space="preserve"> az</w:t>
      </w:r>
    </w:p>
    <w:p w14:paraId="739E1275" w14:textId="6B10A3CF" w:rsidR="00BC3DF8" w:rsidRDefault="00BC3DF8" w:rsidP="003C4496">
      <w:pPr>
        <w:jc w:val="both"/>
      </w:pPr>
      <w:r>
        <w:t>iskolai oktatás</w:t>
      </w:r>
      <w:r w:rsidR="00F97094">
        <w:t>ban</w:t>
      </w:r>
    </w:p>
    <w:p w14:paraId="12370CB7" w14:textId="632A2CB1" w:rsidR="00BC3DF8" w:rsidRPr="009A65AF" w:rsidRDefault="00AC3964" w:rsidP="003C4496">
      <w:pPr>
        <w:jc w:val="both"/>
        <w:rPr>
          <w:b/>
          <w:bCs/>
          <w:color w:val="BF4E14" w:themeColor="accent2" w:themeShade="BF"/>
        </w:rPr>
      </w:pPr>
      <w:r w:rsidRPr="009A65AF">
        <w:rPr>
          <w:b/>
          <w:bCs/>
          <w:color w:val="BF4E14" w:themeColor="accent2" w:themeShade="BF"/>
        </w:rPr>
        <w:t>Résztvevők</w:t>
      </w:r>
    </w:p>
    <w:p w14:paraId="64EF85D8" w14:textId="77777777" w:rsidR="00BC3DF8" w:rsidRDefault="00BC3DF8" w:rsidP="003C4496">
      <w:pPr>
        <w:jc w:val="both"/>
      </w:pPr>
      <w:r>
        <w:t>Olaszország (Milánó és Torino), Magyarország (Budapest)</w:t>
      </w:r>
    </w:p>
    <w:p w14:paraId="23556175" w14:textId="6AC04474" w:rsidR="00AC3964" w:rsidRDefault="00AC3964" w:rsidP="003C4496">
      <w:pPr>
        <w:jc w:val="both"/>
      </w:pPr>
    </w:p>
    <w:p w14:paraId="53EEA69B" w14:textId="64015CE3" w:rsidR="00BC3DF8" w:rsidRPr="009A65AF" w:rsidRDefault="00BC3DF8" w:rsidP="003C4496">
      <w:pPr>
        <w:jc w:val="both"/>
        <w:rPr>
          <w:b/>
          <w:bCs/>
        </w:rPr>
      </w:pPr>
      <w:r w:rsidRPr="009A65AF">
        <w:rPr>
          <w:b/>
          <w:bCs/>
        </w:rPr>
        <w:t>A projekt</w:t>
      </w:r>
    </w:p>
    <w:p w14:paraId="3EC7216D" w14:textId="3013C142" w:rsidR="00BC3DF8" w:rsidRDefault="00BC3DF8" w:rsidP="003C4496">
      <w:pPr>
        <w:jc w:val="both"/>
      </w:pPr>
      <w:r>
        <w:t>A „</w:t>
      </w:r>
      <w:proofErr w:type="spellStart"/>
      <w:r w:rsidR="00AC3964" w:rsidRPr="009A65AF">
        <w:rPr>
          <w:b/>
          <w:bCs/>
        </w:rPr>
        <w:t>Just</w:t>
      </w:r>
      <w:proofErr w:type="spellEnd"/>
      <w:r w:rsidR="00AC3964" w:rsidRPr="009A65AF">
        <w:rPr>
          <w:b/>
          <w:bCs/>
        </w:rPr>
        <w:t xml:space="preserve"> </w:t>
      </w:r>
      <w:proofErr w:type="spellStart"/>
      <w:r w:rsidR="00AC3964" w:rsidRPr="009A65AF">
        <w:rPr>
          <w:b/>
          <w:bCs/>
        </w:rPr>
        <w:t>two</w:t>
      </w:r>
      <w:proofErr w:type="spellEnd"/>
      <w:r w:rsidR="00AC3964" w:rsidRPr="009A65AF">
        <w:rPr>
          <w:b/>
          <w:bCs/>
        </w:rPr>
        <w:t xml:space="preserve"> </w:t>
      </w:r>
      <w:proofErr w:type="spellStart"/>
      <w:r w:rsidR="00AC3964" w:rsidRPr="009A65AF">
        <w:rPr>
          <w:b/>
          <w:bCs/>
        </w:rPr>
        <w:t>steps</w:t>
      </w:r>
      <w:proofErr w:type="spellEnd"/>
      <w:r w:rsidRPr="009A65AF">
        <w:rPr>
          <w:b/>
          <w:bCs/>
        </w:rPr>
        <w:t>: a</w:t>
      </w:r>
      <w:r w:rsidR="009A65AF" w:rsidRPr="009A65AF">
        <w:rPr>
          <w:b/>
          <w:bCs/>
        </w:rPr>
        <w:t xml:space="preserve">z </w:t>
      </w:r>
      <w:proofErr w:type="spellStart"/>
      <w:r w:rsidR="009A65AF" w:rsidRPr="009A65AF">
        <w:rPr>
          <w:b/>
          <w:bCs/>
        </w:rPr>
        <w:t>inklúzió</w:t>
      </w:r>
      <w:proofErr w:type="spellEnd"/>
      <w:r w:rsidR="009A65AF" w:rsidRPr="009A65AF">
        <w:rPr>
          <w:b/>
          <w:bCs/>
        </w:rPr>
        <w:t xml:space="preserve"> </w:t>
      </w:r>
      <w:r w:rsidRPr="009A65AF">
        <w:rPr>
          <w:b/>
          <w:bCs/>
        </w:rPr>
        <w:t>és a részvétel iskolái”</w:t>
      </w:r>
      <w:r>
        <w:t xml:space="preserve"> pr</w:t>
      </w:r>
      <w:r w:rsidR="00AC3964">
        <w:t xml:space="preserve">ojekt </w:t>
      </w:r>
      <w:r w:rsidR="00AC3964" w:rsidRPr="009A65AF">
        <w:rPr>
          <w:b/>
          <w:bCs/>
        </w:rPr>
        <w:t>Olaszország</w:t>
      </w:r>
      <w:r w:rsidR="00AC3964">
        <w:t xml:space="preserve"> és </w:t>
      </w:r>
      <w:r w:rsidR="00AC3964" w:rsidRPr="009A65AF">
        <w:rPr>
          <w:b/>
          <w:bCs/>
        </w:rPr>
        <w:t>Magyarország</w:t>
      </w:r>
      <w:r w:rsidR="00AC3964">
        <w:t xml:space="preserve"> részvételével valósul meg az </w:t>
      </w:r>
      <w:r w:rsidR="00AC3964" w:rsidRPr="009A65AF">
        <w:rPr>
          <w:b/>
          <w:bCs/>
        </w:rPr>
        <w:t>Európai Unió</w:t>
      </w:r>
      <w:r w:rsidR="00AC3964">
        <w:t xml:space="preserve"> Erasmus+ programjának finanszírozásával.</w:t>
      </w:r>
    </w:p>
    <w:p w14:paraId="746B1D6D" w14:textId="00EEF882" w:rsidR="00BC3DF8" w:rsidRDefault="00431012" w:rsidP="003C4496">
      <w:pPr>
        <w:jc w:val="both"/>
      </w:pPr>
      <w:r w:rsidRPr="00431012">
        <w:t xml:space="preserve">A cél az, hogy az iskolákban minél jobban megvalósuljon az </w:t>
      </w:r>
      <w:proofErr w:type="spellStart"/>
      <w:r w:rsidRPr="00431012">
        <w:rPr>
          <w:b/>
          <w:bCs/>
        </w:rPr>
        <w:t>inklúzió</w:t>
      </w:r>
      <w:proofErr w:type="spellEnd"/>
      <w:r w:rsidRPr="00431012">
        <w:t xml:space="preserve">, és </w:t>
      </w:r>
      <w:r w:rsidRPr="00431012">
        <w:rPr>
          <w:b/>
          <w:bCs/>
        </w:rPr>
        <w:t>akadálymentesek</w:t>
      </w:r>
      <w:r w:rsidRPr="00431012">
        <w:t xml:space="preserve"> legyenek az iskolák, ahol minden</w:t>
      </w:r>
      <w:r>
        <w:t xml:space="preserve"> </w:t>
      </w:r>
      <w:r w:rsidR="00AC3964">
        <w:t xml:space="preserve">gyermek - legyen az </w:t>
      </w:r>
      <w:r w:rsidR="00BC3DF8">
        <w:t xml:space="preserve">fogyatékkal élő </w:t>
      </w:r>
      <w:r w:rsidR="00AC3964">
        <w:t xml:space="preserve">vagy fogyaték nélkül élő - </w:t>
      </w:r>
      <w:r w:rsidR="00BC3DF8">
        <w:t xml:space="preserve">teljes mértékben </w:t>
      </w:r>
      <w:r w:rsidR="00AC3964">
        <w:t>ki tudja bontakoztatni az értékeit</w:t>
      </w:r>
      <w:r w:rsidR="00BC3DF8">
        <w:t xml:space="preserve">: </w:t>
      </w:r>
      <w:r w:rsidR="00AC3964">
        <w:t xml:space="preserve">a </w:t>
      </w:r>
      <w:r w:rsidR="00BC3DF8">
        <w:t>személyiség</w:t>
      </w:r>
      <w:r w:rsidR="00AC3964">
        <w:t>ét</w:t>
      </w:r>
      <w:r w:rsidR="00BC3DF8">
        <w:t>,</w:t>
      </w:r>
      <w:r w:rsidR="00AC3964">
        <w:t xml:space="preserve"> a</w:t>
      </w:r>
      <w:r w:rsidR="00BC3DF8">
        <w:t xml:space="preserve"> tehetség</w:t>
      </w:r>
      <w:r w:rsidR="00AC3964">
        <w:t>ét, a kreativitását és a készségeit.</w:t>
      </w:r>
    </w:p>
    <w:p w14:paraId="0BC4E658" w14:textId="330BAC70" w:rsidR="00BC3DF8" w:rsidRDefault="00BC3DF8" w:rsidP="003C4496">
      <w:pPr>
        <w:jc w:val="both"/>
      </w:pPr>
      <w:r>
        <w:t>E cél elérése érdekében a projekt az iskolai</w:t>
      </w:r>
      <w:r w:rsidR="003E13EF">
        <w:t xml:space="preserve"> alkalmazottak</w:t>
      </w:r>
      <w:r>
        <w:t xml:space="preserve"> ismeret</w:t>
      </w:r>
      <w:r w:rsidR="003E13EF">
        <w:t>einek</w:t>
      </w:r>
      <w:r>
        <w:t xml:space="preserve"> és készség</w:t>
      </w:r>
      <w:r w:rsidR="003E13EF">
        <w:t>einek</w:t>
      </w:r>
      <w:r>
        <w:t xml:space="preserve"> fejlesztésére összpontosít</w:t>
      </w:r>
      <w:r w:rsidR="003E13EF">
        <w:t xml:space="preserve"> minden területen, és bevonja az oktatásban érintett teljes közösséget (tanárokat, családokat</w:t>
      </w:r>
      <w:r w:rsidR="003C4496">
        <w:t xml:space="preserve"> és</w:t>
      </w:r>
      <w:r w:rsidR="003E13EF">
        <w:t xml:space="preserve"> diákokat).</w:t>
      </w:r>
    </w:p>
    <w:p w14:paraId="223E85E0" w14:textId="77777777" w:rsidR="00F97094" w:rsidRDefault="00F97094" w:rsidP="003C4496">
      <w:pPr>
        <w:jc w:val="both"/>
      </w:pPr>
    </w:p>
    <w:p w14:paraId="1BC56229" w14:textId="0A0D7AA3" w:rsidR="00BC3DF8" w:rsidRPr="009A65AF" w:rsidRDefault="00431012" w:rsidP="003C4496">
      <w:pPr>
        <w:jc w:val="both"/>
        <w:rPr>
          <w:b/>
          <w:bCs/>
        </w:rPr>
      </w:pPr>
      <w:r>
        <w:rPr>
          <w:b/>
          <w:bCs/>
        </w:rPr>
        <w:t>A háttér</w:t>
      </w:r>
    </w:p>
    <w:p w14:paraId="59CF9989" w14:textId="7A294CBA" w:rsidR="00BC3DF8" w:rsidRDefault="00BC3DF8" w:rsidP="003C4496">
      <w:pPr>
        <w:jc w:val="both"/>
      </w:pPr>
      <w:r w:rsidRPr="009A65AF">
        <w:rPr>
          <w:b/>
          <w:bCs/>
        </w:rPr>
        <w:t>Olaszországban</w:t>
      </w:r>
      <w:r>
        <w:t xml:space="preserve"> a 2022/2023-as tanévben közel 338 000 fogyatékkal élő diák</w:t>
      </w:r>
      <w:r w:rsidR="003E13EF">
        <w:t xml:space="preserve"> tanult iskolában (minden iskolafokon), ez a szám az összes </w:t>
      </w:r>
      <w:r>
        <w:t>beiratkoz</w:t>
      </w:r>
      <w:r w:rsidR="003C4496">
        <w:t>ó</w:t>
      </w:r>
      <w:r>
        <w:t xml:space="preserve"> 4,1%-</w:t>
      </w:r>
      <w:r w:rsidR="003E13EF">
        <w:t>a.</w:t>
      </w:r>
      <w:r>
        <w:t xml:space="preserve"> (</w:t>
      </w:r>
      <w:r w:rsidR="003E13EF">
        <w:t xml:space="preserve">ez </w:t>
      </w:r>
      <w:r>
        <w:t>7%-os növekedés</w:t>
      </w:r>
      <w:r w:rsidR="003E13EF">
        <w:t>t</w:t>
      </w:r>
      <w:r>
        <w:t>,</w:t>
      </w:r>
      <w:r w:rsidR="003E13EF">
        <w:t xml:space="preserve"> vagyis </w:t>
      </w:r>
      <w:r>
        <w:t>21000 diák</w:t>
      </w:r>
      <w:r w:rsidR="003E13EF">
        <w:t xml:space="preserve">ot jelent </w:t>
      </w:r>
      <w:r>
        <w:t>az előző tanévhez képest).</w:t>
      </w:r>
    </w:p>
    <w:p w14:paraId="0544ED13" w14:textId="4226887F" w:rsidR="00BC3DF8" w:rsidRDefault="00BC3DF8" w:rsidP="003C4496">
      <w:pPr>
        <w:jc w:val="both"/>
      </w:pPr>
      <w:r w:rsidRPr="009A65AF">
        <w:rPr>
          <w:b/>
          <w:bCs/>
        </w:rPr>
        <w:lastRenderedPageBreak/>
        <w:t>Magyarországon</w:t>
      </w:r>
      <w:r>
        <w:t xml:space="preserve"> a 2019/2020-as tanévben </w:t>
      </w:r>
      <w:r w:rsidR="003E13EF">
        <w:t xml:space="preserve">a </w:t>
      </w:r>
      <w:r>
        <w:t>sajátos nevelési igényű tanulók</w:t>
      </w:r>
      <w:r w:rsidR="003C4496">
        <w:t xml:space="preserve"> az összes diák</w:t>
      </w:r>
      <w:r w:rsidR="003E13EF">
        <w:t xml:space="preserve"> </w:t>
      </w:r>
      <w:r>
        <w:t>6,04%-</w:t>
      </w:r>
      <w:r w:rsidR="003E13EF">
        <w:t>át</w:t>
      </w:r>
      <w:r>
        <w:t xml:space="preserve"> tett</w:t>
      </w:r>
      <w:r w:rsidR="003E13EF">
        <w:t>ék</w:t>
      </w:r>
      <w:r>
        <w:t xml:space="preserve"> ki (40 661 általános iskolában, 17 335 középiskolában</w:t>
      </w:r>
      <w:r w:rsidR="003E13EF">
        <w:t xml:space="preserve"> tanult</w:t>
      </w:r>
      <w:r>
        <w:t xml:space="preserve">), </w:t>
      </w:r>
      <w:r w:rsidR="003E13EF">
        <w:t>folyamatos emelkedés figyelhető meg</w:t>
      </w:r>
      <w:r w:rsidR="003C4496">
        <w:t xml:space="preserve"> itt is</w:t>
      </w:r>
      <w:r w:rsidR="003E13EF">
        <w:t xml:space="preserve"> </w:t>
      </w:r>
      <w:r w:rsidR="003C4496">
        <w:t>(</w:t>
      </w:r>
      <w:r w:rsidR="003E13EF">
        <w:t>a 2015-ös 83000 főről a 2019-es 91000 főre</w:t>
      </w:r>
      <w:r w:rsidR="003C4496">
        <w:t xml:space="preserve"> emelkedett a létszám)</w:t>
      </w:r>
      <w:r w:rsidR="003E13EF">
        <w:t>.</w:t>
      </w:r>
    </w:p>
    <w:p w14:paraId="23A88C56" w14:textId="77777777" w:rsidR="00F97094" w:rsidRDefault="00F97094" w:rsidP="003C4496">
      <w:pPr>
        <w:jc w:val="both"/>
      </w:pPr>
    </w:p>
    <w:p w14:paraId="4047B4D0" w14:textId="77777777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Általános cél</w:t>
      </w:r>
    </w:p>
    <w:p w14:paraId="19F07146" w14:textId="4D817095" w:rsidR="00BC3DF8" w:rsidRDefault="00BC3DF8" w:rsidP="003C4496">
      <w:pPr>
        <w:jc w:val="both"/>
      </w:pPr>
      <w:r>
        <w:t xml:space="preserve">A fogyatékkal élő gyermekek </w:t>
      </w:r>
      <w:r w:rsidR="003E13EF">
        <w:t>inkluzív</w:t>
      </w:r>
      <w:r>
        <w:t xml:space="preserve"> oktatáshoz való jogának előmozdítása (ENSZ-egyezmény</w:t>
      </w:r>
    </w:p>
    <w:p w14:paraId="38363883" w14:textId="77777777" w:rsidR="00BC3DF8" w:rsidRDefault="00BC3DF8" w:rsidP="003C4496">
      <w:pPr>
        <w:jc w:val="both"/>
      </w:pPr>
      <w:r>
        <w:t>a fogyatékossággal élő személyek jogairól és az Európai Bizottság 2021–2030-as stratégiájáról</w:t>
      </w:r>
    </w:p>
    <w:p w14:paraId="1322C845" w14:textId="77777777" w:rsidR="00BC3DF8" w:rsidRDefault="00BC3DF8" w:rsidP="003C4496">
      <w:pPr>
        <w:jc w:val="both"/>
      </w:pPr>
      <w:r>
        <w:t>a fogyatékossággal élő személyek jogaiért).</w:t>
      </w:r>
    </w:p>
    <w:p w14:paraId="3869A7E7" w14:textId="77777777" w:rsidR="00BC3DF8" w:rsidRDefault="00BC3DF8" w:rsidP="003C4496">
      <w:pPr>
        <w:jc w:val="both"/>
      </w:pPr>
    </w:p>
    <w:p w14:paraId="485B2288" w14:textId="77777777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Konkrét célkitűzések</w:t>
      </w:r>
    </w:p>
    <w:p w14:paraId="6B489E89" w14:textId="78976D3E" w:rsidR="00BC3DF8" w:rsidRDefault="00BC3DF8" w:rsidP="00431012">
      <w:pPr>
        <w:spacing w:after="120"/>
        <w:jc w:val="both"/>
      </w:pPr>
      <w:r>
        <w:t xml:space="preserve">• Az iskolai </w:t>
      </w:r>
      <w:r w:rsidR="00015696">
        <w:t>dolgozók</w:t>
      </w:r>
      <w:r>
        <w:t xml:space="preserve"> képzése </w:t>
      </w:r>
      <w:r w:rsidR="003E13EF">
        <w:t>(az inkluzív</w:t>
      </w:r>
      <w:r>
        <w:t xml:space="preserve"> tanításhoz szükséges ismeretek és készségek</w:t>
      </w:r>
      <w:r w:rsidR="003E13EF">
        <w:t>).</w:t>
      </w:r>
    </w:p>
    <w:p w14:paraId="271D88EF" w14:textId="3AEEDE75" w:rsidR="00BC3DF8" w:rsidRDefault="00BC3DF8" w:rsidP="00431012">
      <w:pPr>
        <w:spacing w:after="120"/>
        <w:jc w:val="both"/>
      </w:pPr>
      <w:r>
        <w:t xml:space="preserve">• A </w:t>
      </w:r>
      <w:r w:rsidR="003E13EF">
        <w:t>diák</w:t>
      </w:r>
      <w:r w:rsidR="00F97094">
        <w:t>ok</w:t>
      </w:r>
      <w:r>
        <w:t xml:space="preserve"> aktív részvételének elősegítése </w:t>
      </w:r>
      <w:r w:rsidR="00B660C9">
        <w:t>(</w:t>
      </w:r>
      <w:r>
        <w:t>az érzékszervi</w:t>
      </w:r>
      <w:r w:rsidR="003C4496">
        <w:t xml:space="preserve"> fogyatékkal élők segítése </w:t>
      </w:r>
      <w:r w:rsidR="00B660C9">
        <w:t xml:space="preserve">mind szociális, mind </w:t>
      </w:r>
      <w:r w:rsidR="003C4496">
        <w:t>oktatási</w:t>
      </w:r>
      <w:r w:rsidR="00B660C9">
        <w:t xml:space="preserve"> szempontból).</w:t>
      </w:r>
    </w:p>
    <w:p w14:paraId="2C77A5AB" w14:textId="733239D3" w:rsidR="00BC3DF8" w:rsidRDefault="00BC3DF8" w:rsidP="00431012">
      <w:pPr>
        <w:spacing w:after="120"/>
        <w:jc w:val="both"/>
      </w:pPr>
      <w:r>
        <w:t xml:space="preserve">• A fogyatékossággal élő gyermekek iránt </w:t>
      </w:r>
      <w:r w:rsidR="00B660C9">
        <w:t>inkluzív</w:t>
      </w:r>
      <w:r>
        <w:t xml:space="preserve"> magatartások </w:t>
      </w:r>
      <w:r w:rsidR="00B660C9">
        <w:t>közvetítése azzal, hogy őket és a családjaikat is bevonjuk.</w:t>
      </w:r>
    </w:p>
    <w:p w14:paraId="53C002C2" w14:textId="77777777" w:rsidR="00B660C9" w:rsidRDefault="00B660C9" w:rsidP="003C4496">
      <w:pPr>
        <w:jc w:val="both"/>
      </w:pPr>
    </w:p>
    <w:p w14:paraId="051B6D23" w14:textId="205ABAE1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Közvetlen kedvezményezettek</w:t>
      </w:r>
    </w:p>
    <w:p w14:paraId="08368D4B" w14:textId="06895F89" w:rsidR="00BC3DF8" w:rsidRDefault="00BC3DF8" w:rsidP="00431012">
      <w:pPr>
        <w:spacing w:after="120"/>
        <w:jc w:val="both"/>
      </w:pPr>
      <w:r>
        <w:t xml:space="preserve">• 900 fogyatékos és nem fogyatékos gyermek </w:t>
      </w:r>
      <w:r w:rsidR="00B660C9">
        <w:t>(</w:t>
      </w:r>
      <w:r>
        <w:t xml:space="preserve">kiemelten </w:t>
      </w:r>
      <w:r w:rsidR="00B660C9">
        <w:t xml:space="preserve">a </w:t>
      </w:r>
      <w:r>
        <w:t>6-14 éves korosztály</w:t>
      </w:r>
      <w:r w:rsidR="003C4496">
        <w:t>ból</w:t>
      </w:r>
      <w:r w:rsidR="00B660C9">
        <w:t>)</w:t>
      </w:r>
      <w:r>
        <w:t>.</w:t>
      </w:r>
    </w:p>
    <w:p w14:paraId="2FD724DA" w14:textId="2EF0FF6F" w:rsidR="00BC3DF8" w:rsidRDefault="00BC3DF8" w:rsidP="00431012">
      <w:pPr>
        <w:spacing w:after="120"/>
        <w:jc w:val="both"/>
      </w:pPr>
      <w:r>
        <w:t xml:space="preserve">• 45 tanár, </w:t>
      </w:r>
      <w:r w:rsidR="00B660C9">
        <w:t xml:space="preserve">tréner és iskolai </w:t>
      </w:r>
      <w:r w:rsidR="00015696">
        <w:t>dolgozó</w:t>
      </w:r>
      <w:r>
        <w:t>.</w:t>
      </w:r>
    </w:p>
    <w:p w14:paraId="6BAD9848" w14:textId="77777777" w:rsidR="00BC3DF8" w:rsidRDefault="00BC3DF8" w:rsidP="00431012">
      <w:pPr>
        <w:spacing w:after="120"/>
        <w:jc w:val="both"/>
      </w:pPr>
      <w:r>
        <w:t>• Fogyatékkal élő gyermekek családjai.</w:t>
      </w:r>
    </w:p>
    <w:p w14:paraId="3616E0FE" w14:textId="77777777" w:rsidR="00F97094" w:rsidRDefault="00F97094" w:rsidP="003C4496">
      <w:pPr>
        <w:jc w:val="both"/>
      </w:pPr>
    </w:p>
    <w:p w14:paraId="7DB8013B" w14:textId="553D9200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Közvetett kedvezményezettek</w:t>
      </w:r>
    </w:p>
    <w:p w14:paraId="7D901ED2" w14:textId="706B6EDF" w:rsidR="00BC3DF8" w:rsidRDefault="00BC3DF8" w:rsidP="003C4496">
      <w:pPr>
        <w:jc w:val="both"/>
      </w:pPr>
      <w:r>
        <w:t>Fogyaték</w:t>
      </w:r>
      <w:r w:rsidR="00B660C9">
        <w:t xml:space="preserve"> nélkül élő</w:t>
      </w:r>
      <w:r>
        <w:t xml:space="preserve"> gyermek</w:t>
      </w:r>
      <w:r w:rsidR="00B660C9">
        <w:t>ek</w:t>
      </w:r>
      <w:r>
        <w:t xml:space="preserve"> család</w:t>
      </w:r>
      <w:r w:rsidR="00B660C9">
        <w:t>jai</w:t>
      </w:r>
      <w:r>
        <w:t xml:space="preserve">, </w:t>
      </w:r>
      <w:r w:rsidR="00B660C9">
        <w:t>iskolák és oktatási szervezetek</w:t>
      </w:r>
      <w:r>
        <w:t>, általános</w:t>
      </w:r>
      <w:r w:rsidR="00B660C9">
        <w:t>an a nyilvánosság</w:t>
      </w:r>
      <w:r>
        <w:t>.</w:t>
      </w:r>
    </w:p>
    <w:p w14:paraId="05F873D7" w14:textId="77777777" w:rsidR="00F97094" w:rsidRDefault="00F97094" w:rsidP="003C4496">
      <w:pPr>
        <w:jc w:val="both"/>
      </w:pPr>
    </w:p>
    <w:p w14:paraId="1CFB543B" w14:textId="77777777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Tevékenységek</w:t>
      </w:r>
    </w:p>
    <w:p w14:paraId="2B786C37" w14:textId="3604A7F6" w:rsidR="00BC3DF8" w:rsidRDefault="00BC3DF8" w:rsidP="003C4496">
      <w:pPr>
        <w:jc w:val="both"/>
      </w:pPr>
      <w:r>
        <w:t xml:space="preserve">- </w:t>
      </w:r>
      <w:proofErr w:type="spellStart"/>
      <w:r w:rsidR="00D914CA" w:rsidRPr="00F97094">
        <w:rPr>
          <w:b/>
          <w:bCs/>
        </w:rPr>
        <w:t>Community</w:t>
      </w:r>
      <w:proofErr w:type="spellEnd"/>
      <w:r w:rsidR="00D914CA" w:rsidRPr="00F97094">
        <w:rPr>
          <w:b/>
          <w:bCs/>
        </w:rPr>
        <w:t xml:space="preserve"> of </w:t>
      </w:r>
      <w:proofErr w:type="spellStart"/>
      <w:r w:rsidR="00D914CA" w:rsidRPr="00F97094">
        <w:rPr>
          <w:b/>
          <w:bCs/>
        </w:rPr>
        <w:t>Practices</w:t>
      </w:r>
      <w:proofErr w:type="spellEnd"/>
      <w:r w:rsidR="00D914CA" w:rsidRPr="00F97094">
        <w:rPr>
          <w:b/>
          <w:bCs/>
        </w:rPr>
        <w:t xml:space="preserve"> (A gyakorlat közössége)</w:t>
      </w:r>
      <w:r>
        <w:t xml:space="preserve">: Az iskola alkalmazottai képzésben és </w:t>
      </w:r>
      <w:r w:rsidR="00D914CA">
        <w:t>tapasztalat</w:t>
      </w:r>
      <w:r>
        <w:t>cserében vesznek részt</w:t>
      </w:r>
      <w:r w:rsidR="00D914CA">
        <w:t xml:space="preserve"> </w:t>
      </w:r>
      <w:r>
        <w:t>a fogyatékossággal élő személyek jogaival és készségeivel kapcsolatos</w:t>
      </w:r>
      <w:r w:rsidR="00F97094">
        <w:t>an, ahol ismereteket szereznek</w:t>
      </w:r>
      <w:r w:rsidR="00D914CA">
        <w:t xml:space="preserve"> </w:t>
      </w:r>
      <w:r>
        <w:t xml:space="preserve">a </w:t>
      </w:r>
      <w:proofErr w:type="spellStart"/>
      <w:r>
        <w:t>Universal</w:t>
      </w:r>
      <w:proofErr w:type="spellEnd"/>
      <w:r>
        <w:t xml:space="preserve"> Design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(UDL) programban.</w:t>
      </w:r>
    </w:p>
    <w:p w14:paraId="75E5F39B" w14:textId="79C192F1" w:rsidR="00BC3DF8" w:rsidRDefault="00BC3DF8" w:rsidP="003C4496">
      <w:pPr>
        <w:jc w:val="both"/>
      </w:pPr>
      <w:r>
        <w:t xml:space="preserve">- </w:t>
      </w:r>
      <w:r w:rsidRPr="00F97094">
        <w:rPr>
          <w:b/>
          <w:bCs/>
        </w:rPr>
        <w:t>CBM színházi előadás</w:t>
      </w:r>
      <w:r w:rsidR="00D914CA" w:rsidRPr="00F97094">
        <w:rPr>
          <w:b/>
          <w:bCs/>
        </w:rPr>
        <w:t>ának megtekintése</w:t>
      </w:r>
      <w:r w:rsidRPr="00F97094">
        <w:rPr>
          <w:b/>
          <w:bCs/>
        </w:rPr>
        <w:t xml:space="preserve"> „</w:t>
      </w:r>
      <w:proofErr w:type="spellStart"/>
      <w:r w:rsidR="00D914CA" w:rsidRPr="00F97094">
        <w:rPr>
          <w:b/>
          <w:bCs/>
        </w:rPr>
        <w:t>Just</w:t>
      </w:r>
      <w:proofErr w:type="spellEnd"/>
      <w:r w:rsidR="00D914CA" w:rsidRPr="00F97094">
        <w:rPr>
          <w:b/>
          <w:bCs/>
        </w:rPr>
        <w:t xml:space="preserve"> </w:t>
      </w:r>
      <w:proofErr w:type="spellStart"/>
      <w:r w:rsidR="00D914CA" w:rsidRPr="00F97094">
        <w:rPr>
          <w:b/>
          <w:bCs/>
        </w:rPr>
        <w:t>two</w:t>
      </w:r>
      <w:proofErr w:type="spellEnd"/>
      <w:r w:rsidR="00D914CA" w:rsidRPr="00F97094">
        <w:rPr>
          <w:b/>
          <w:bCs/>
        </w:rPr>
        <w:t xml:space="preserve"> </w:t>
      </w:r>
      <w:proofErr w:type="spellStart"/>
      <w:r w:rsidR="00D914CA" w:rsidRPr="00F97094">
        <w:rPr>
          <w:b/>
          <w:bCs/>
        </w:rPr>
        <w:t>steps</w:t>
      </w:r>
      <w:proofErr w:type="spellEnd"/>
      <w:r w:rsidRPr="00F97094">
        <w:rPr>
          <w:b/>
          <w:bCs/>
        </w:rPr>
        <w:t>”</w:t>
      </w:r>
      <w:r w:rsidR="00D914CA">
        <w:t xml:space="preserve"> (Csak Olaszországban), valamint </w:t>
      </w:r>
      <w:proofErr w:type="spellStart"/>
      <w:r w:rsidR="00D914CA" w:rsidRPr="00F97094">
        <w:rPr>
          <w:b/>
          <w:bCs/>
        </w:rPr>
        <w:t>inklúziós</w:t>
      </w:r>
      <w:proofErr w:type="spellEnd"/>
      <w:r w:rsidR="00D914CA" w:rsidRPr="00F97094">
        <w:rPr>
          <w:b/>
          <w:bCs/>
        </w:rPr>
        <w:t xml:space="preserve"> műhelyek</w:t>
      </w:r>
      <w:r w:rsidR="00F97094" w:rsidRPr="00F97094">
        <w:rPr>
          <w:b/>
          <w:bCs/>
        </w:rPr>
        <w:t xml:space="preserve"> kialakítása</w:t>
      </w:r>
      <w:r>
        <w:t xml:space="preserve">: A diákok és a tanárok </w:t>
      </w:r>
      <w:r w:rsidR="00D914CA">
        <w:t xml:space="preserve">megpróbálják a szociális és iskolai környezetet </w:t>
      </w:r>
      <w:r w:rsidR="00F97094">
        <w:t>akadálymentessé</w:t>
      </w:r>
      <w:r w:rsidR="00D914CA">
        <w:t xml:space="preserve"> és inkluzívvá tenni.</w:t>
      </w:r>
    </w:p>
    <w:p w14:paraId="58E16183" w14:textId="39E0E686" w:rsidR="00BC3DF8" w:rsidRDefault="00BC3DF8" w:rsidP="003C4496">
      <w:pPr>
        <w:jc w:val="both"/>
      </w:pPr>
      <w:r>
        <w:t xml:space="preserve">- </w:t>
      </w:r>
      <w:r w:rsidRPr="00F97094">
        <w:rPr>
          <w:b/>
          <w:bCs/>
        </w:rPr>
        <w:t>Önképviseleti és érdekérvényesítő nemzetközi csoport</w:t>
      </w:r>
      <w:r>
        <w:t>:</w:t>
      </w:r>
      <w:r w:rsidR="00D914CA">
        <w:t xml:space="preserve"> A fogyatékkal élő diákok és családjaik olyan figyelemfelkeltő anyagokat fejlesztenek együtt, am</w:t>
      </w:r>
      <w:r w:rsidR="00015696">
        <w:t>elyek</w:t>
      </w:r>
      <w:r w:rsidR="00D914CA">
        <w:t xml:space="preserve"> népszerűsít</w:t>
      </w:r>
      <w:r w:rsidR="00015696">
        <w:t>ik</w:t>
      </w:r>
      <w:r w:rsidR="00D914CA">
        <w:t xml:space="preserve"> az </w:t>
      </w:r>
      <w:proofErr w:type="spellStart"/>
      <w:r w:rsidR="00D914CA">
        <w:t>inklúzió</w:t>
      </w:r>
      <w:proofErr w:type="spellEnd"/>
      <w:r w:rsidR="00D914CA">
        <w:t xml:space="preserve"> </w:t>
      </w:r>
      <w:r w:rsidR="00D914CA">
        <w:lastRenderedPageBreak/>
        <w:t>kultúráját, amik küzdenek az előítéletek és a diszkrimináció ellen, valamint bátorítják az inkluzív viselkedést az iskolában és az iskolán kívüli környezetben.</w:t>
      </w:r>
    </w:p>
    <w:p w14:paraId="337CE6A9" w14:textId="77777777" w:rsidR="00F97094" w:rsidRDefault="00F97094" w:rsidP="003C4496">
      <w:pPr>
        <w:jc w:val="both"/>
      </w:pPr>
    </w:p>
    <w:p w14:paraId="09CAA508" w14:textId="77777777" w:rsidR="00431012" w:rsidRDefault="00431012" w:rsidP="003C4496">
      <w:pPr>
        <w:jc w:val="both"/>
      </w:pPr>
    </w:p>
    <w:p w14:paraId="5966BEA6" w14:textId="77777777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Eredmények</w:t>
      </w:r>
    </w:p>
    <w:p w14:paraId="55ACBAE6" w14:textId="54001C03" w:rsidR="00BC3DF8" w:rsidRDefault="00BC3DF8" w:rsidP="003C4496">
      <w:pPr>
        <w:jc w:val="both"/>
      </w:pPr>
      <w:r>
        <w:t xml:space="preserve">• </w:t>
      </w:r>
      <w:r w:rsidR="00D914CA">
        <w:t>Az iskola személyzete i</w:t>
      </w:r>
      <w:r>
        <w:t>nkluzív tanítási ismeretek</w:t>
      </w:r>
      <w:r w:rsidR="00D914CA">
        <w:t>et</w:t>
      </w:r>
      <w:r>
        <w:t xml:space="preserve"> és készségek</w:t>
      </w:r>
      <w:r w:rsidR="00D914CA">
        <w:t>et</w:t>
      </w:r>
      <w:r>
        <w:t xml:space="preserve"> </w:t>
      </w:r>
      <w:r w:rsidR="00D914CA">
        <w:t>sajátít el</w:t>
      </w:r>
      <w:r w:rsidR="003C4496">
        <w:t>.</w:t>
      </w:r>
    </w:p>
    <w:p w14:paraId="11ACC695" w14:textId="2E16444E" w:rsidR="00BC3DF8" w:rsidRDefault="00BC3DF8" w:rsidP="003C4496">
      <w:pPr>
        <w:jc w:val="both"/>
      </w:pPr>
      <w:r>
        <w:t>• A</w:t>
      </w:r>
      <w:r w:rsidR="00F97094">
        <w:t>z érzékszervi</w:t>
      </w:r>
      <w:r>
        <w:t xml:space="preserve"> akadály</w:t>
      </w:r>
      <w:r w:rsidR="00F97094">
        <w:t>ozottsággal</w:t>
      </w:r>
      <w:r>
        <w:t xml:space="preserve"> kapcsolatos tudatosság</w:t>
      </w:r>
      <w:r w:rsidR="009A65AF">
        <w:t xml:space="preserve"> fokozása a fogyatékkal élő és a nem fogyatékkal élő gyermekek és az iskolai dolgozók között</w:t>
      </w:r>
      <w:r>
        <w:t>.</w:t>
      </w:r>
    </w:p>
    <w:p w14:paraId="52D12C13" w14:textId="36B4957E" w:rsidR="00BC3DF8" w:rsidRDefault="00BC3DF8" w:rsidP="003C4496">
      <w:pPr>
        <w:jc w:val="both"/>
      </w:pPr>
      <w:r>
        <w:t xml:space="preserve">• </w:t>
      </w:r>
      <w:r w:rsidR="009C2DC0">
        <w:t>A gyermekek (fogyatékkal élők és nem fogyatékkal élők egyaránt)</w:t>
      </w:r>
      <w:r w:rsidR="009A65AF">
        <w:t xml:space="preserve"> és családjaik</w:t>
      </w:r>
      <w:r>
        <w:t xml:space="preserve"> körébe</w:t>
      </w:r>
      <w:r w:rsidR="009A65AF">
        <w:t>n bővíteni a fogyatékossággal kapcsolatos ismereteket.</w:t>
      </w:r>
    </w:p>
    <w:p w14:paraId="3D94B7CF" w14:textId="77777777" w:rsidR="00BC3DF8" w:rsidRDefault="00BC3DF8" w:rsidP="003C4496">
      <w:pPr>
        <w:jc w:val="both"/>
      </w:pPr>
    </w:p>
    <w:p w14:paraId="0D5C510D" w14:textId="77777777" w:rsidR="00BC3DF8" w:rsidRPr="00F97094" w:rsidRDefault="00BC3DF8" w:rsidP="003C4496">
      <w:pPr>
        <w:jc w:val="both"/>
        <w:rPr>
          <w:b/>
          <w:bCs/>
        </w:rPr>
      </w:pPr>
      <w:r w:rsidRPr="00F97094">
        <w:rPr>
          <w:b/>
          <w:bCs/>
        </w:rPr>
        <w:t>Partnerek</w:t>
      </w:r>
    </w:p>
    <w:p w14:paraId="23784F13" w14:textId="5AFA6109" w:rsidR="009A65AF" w:rsidRDefault="00F97094" w:rsidP="003C4496">
      <w:pPr>
        <w:jc w:val="both"/>
      </w:pPr>
      <w:r>
        <w:rPr>
          <w:noProof/>
        </w:rPr>
        <w:drawing>
          <wp:inline distT="0" distB="0" distL="0" distR="0" wp14:anchorId="4EEDC589" wp14:editId="15678208">
            <wp:extent cx="952500" cy="1028700"/>
            <wp:effectExtent l="0" t="0" r="0" b="0"/>
            <wp:docPr id="181101713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rPr>
          <w:noProof/>
        </w:rPr>
        <w:drawing>
          <wp:inline distT="0" distB="0" distL="0" distR="0" wp14:anchorId="68E38363" wp14:editId="666C11F9">
            <wp:extent cx="1212850" cy="787400"/>
            <wp:effectExtent l="0" t="0" r="6350" b="0"/>
            <wp:docPr id="610620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D1AF" w14:textId="0D31E2DD" w:rsidR="00E42709" w:rsidRDefault="00BC3DF8" w:rsidP="003C4496">
      <w:pPr>
        <w:jc w:val="both"/>
        <w:rPr>
          <w:sz w:val="18"/>
          <w:szCs w:val="18"/>
        </w:rPr>
      </w:pPr>
      <w:r w:rsidRPr="003C4496">
        <w:rPr>
          <w:sz w:val="18"/>
          <w:szCs w:val="18"/>
        </w:rPr>
        <w:t>Az Európai Unió társfinanszírozásával. A kifejtett nézetek és vélemények csak a szerző(k)</w:t>
      </w:r>
      <w:proofErr w:type="spellStart"/>
      <w:r w:rsidR="009A65AF" w:rsidRPr="003C4496">
        <w:rPr>
          <w:sz w:val="18"/>
          <w:szCs w:val="18"/>
        </w:rPr>
        <w:t>höz</w:t>
      </w:r>
      <w:proofErr w:type="spellEnd"/>
      <w:r w:rsidR="009A65AF" w:rsidRPr="003C4496">
        <w:rPr>
          <w:sz w:val="18"/>
          <w:szCs w:val="18"/>
        </w:rPr>
        <w:t xml:space="preserve"> tartoznak, </w:t>
      </w:r>
      <w:r w:rsidRPr="003C4496">
        <w:rPr>
          <w:sz w:val="18"/>
          <w:szCs w:val="18"/>
        </w:rPr>
        <w:t xml:space="preserve">és nem feltétlenül tükrözik az Európai Unió vagy a </w:t>
      </w:r>
      <w:r w:rsidR="009A65AF" w:rsidRPr="003C4496">
        <w:rPr>
          <w:sz w:val="18"/>
          <w:szCs w:val="18"/>
        </w:rPr>
        <w:t xml:space="preserve">European Education and </w:t>
      </w:r>
      <w:proofErr w:type="spellStart"/>
      <w:r w:rsidR="009A65AF" w:rsidRPr="003C4496">
        <w:rPr>
          <w:sz w:val="18"/>
          <w:szCs w:val="18"/>
        </w:rPr>
        <w:t>Culture</w:t>
      </w:r>
      <w:proofErr w:type="spellEnd"/>
      <w:r w:rsidR="009A65AF" w:rsidRPr="003C4496">
        <w:rPr>
          <w:sz w:val="18"/>
          <w:szCs w:val="18"/>
        </w:rPr>
        <w:t xml:space="preserve"> </w:t>
      </w:r>
      <w:proofErr w:type="spellStart"/>
      <w:r w:rsidR="009A65AF" w:rsidRPr="003C4496">
        <w:rPr>
          <w:sz w:val="18"/>
          <w:szCs w:val="18"/>
        </w:rPr>
        <w:t>Executive</w:t>
      </w:r>
      <w:proofErr w:type="spellEnd"/>
      <w:r w:rsidR="009A65AF" w:rsidRPr="003C4496">
        <w:rPr>
          <w:sz w:val="18"/>
          <w:szCs w:val="18"/>
        </w:rPr>
        <w:t xml:space="preserve"> </w:t>
      </w:r>
      <w:proofErr w:type="spellStart"/>
      <w:r w:rsidR="009A65AF" w:rsidRPr="003C4496">
        <w:rPr>
          <w:sz w:val="18"/>
          <w:szCs w:val="18"/>
        </w:rPr>
        <w:t>Agency</w:t>
      </w:r>
      <w:proofErr w:type="spellEnd"/>
      <w:r w:rsidR="009A65AF" w:rsidRPr="003C4496">
        <w:rPr>
          <w:sz w:val="18"/>
          <w:szCs w:val="18"/>
        </w:rPr>
        <w:t xml:space="preserve"> </w:t>
      </w:r>
      <w:r w:rsidRPr="003C4496">
        <w:rPr>
          <w:sz w:val="18"/>
          <w:szCs w:val="18"/>
        </w:rPr>
        <w:t>(EACEA)</w:t>
      </w:r>
      <w:r w:rsidR="009A65AF" w:rsidRPr="003C4496">
        <w:rPr>
          <w:sz w:val="18"/>
          <w:szCs w:val="18"/>
        </w:rPr>
        <w:t xml:space="preserve"> nézeteit és véleményét</w:t>
      </w:r>
      <w:r w:rsidRPr="003C4496">
        <w:rPr>
          <w:sz w:val="18"/>
          <w:szCs w:val="18"/>
        </w:rPr>
        <w:t xml:space="preserve">. Sem az Európai Unió, sem az EACEA nem </w:t>
      </w:r>
      <w:r w:rsidR="009A65AF" w:rsidRPr="003C4496">
        <w:rPr>
          <w:sz w:val="18"/>
          <w:szCs w:val="18"/>
        </w:rPr>
        <w:t xml:space="preserve">vállal azokért </w:t>
      </w:r>
      <w:r w:rsidRPr="003C4496">
        <w:rPr>
          <w:sz w:val="18"/>
          <w:szCs w:val="18"/>
        </w:rPr>
        <w:t>felelőssé</w:t>
      </w:r>
      <w:r w:rsidR="009A65AF" w:rsidRPr="003C4496">
        <w:rPr>
          <w:sz w:val="18"/>
          <w:szCs w:val="18"/>
        </w:rPr>
        <w:t>get</w:t>
      </w:r>
      <w:r w:rsidRPr="003C4496">
        <w:rPr>
          <w:sz w:val="18"/>
          <w:szCs w:val="18"/>
        </w:rPr>
        <w:t>.</w:t>
      </w:r>
    </w:p>
    <w:p w14:paraId="3AD5012A" w14:textId="2B088E3E" w:rsidR="00FB5EFC" w:rsidRPr="003C4496" w:rsidRDefault="00FB5EFC" w:rsidP="00FB5EF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495717A" wp14:editId="75C4D523">
            <wp:extent cx="3784600" cy="1684855"/>
            <wp:effectExtent l="0" t="0" r="6350" b="0"/>
            <wp:docPr id="13843932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49" cy="168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EFC" w:rsidRPr="003C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8"/>
    <w:rsid w:val="00015032"/>
    <w:rsid w:val="00015696"/>
    <w:rsid w:val="003C4496"/>
    <w:rsid w:val="003E13EF"/>
    <w:rsid w:val="00431012"/>
    <w:rsid w:val="004A2F39"/>
    <w:rsid w:val="00605B74"/>
    <w:rsid w:val="00777AB3"/>
    <w:rsid w:val="009165F9"/>
    <w:rsid w:val="0099294B"/>
    <w:rsid w:val="009A65AF"/>
    <w:rsid w:val="009C2DC0"/>
    <w:rsid w:val="00AB3700"/>
    <w:rsid w:val="00AC3964"/>
    <w:rsid w:val="00B324E3"/>
    <w:rsid w:val="00B660C9"/>
    <w:rsid w:val="00BC3DF8"/>
    <w:rsid w:val="00CD4108"/>
    <w:rsid w:val="00D55218"/>
    <w:rsid w:val="00D914CA"/>
    <w:rsid w:val="00E217DC"/>
    <w:rsid w:val="00E42709"/>
    <w:rsid w:val="00EA763C"/>
    <w:rsid w:val="00EF5F56"/>
    <w:rsid w:val="00F97094"/>
    <w:rsid w:val="00FB5EF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72F"/>
  <w15:chartTrackingRefBased/>
  <w15:docId w15:val="{9DC43D78-0EFE-4661-846D-A110AE4B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3D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3D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3D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3D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3D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3D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3D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3D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3D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3D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3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Just two steps (Csak két lépés): az inklúzió és a részvétel iskolái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two steps (Csak két lépés): az inklúzió és a részvétel iskolái</dc:title>
  <dc:subject/>
  <dc:creator>Szilvia Davidhazy</dc:creator>
  <cp:keywords/>
  <dc:description/>
  <cp:lastModifiedBy>Ferenc Grezner</cp:lastModifiedBy>
  <cp:revision>6</cp:revision>
  <dcterms:created xsi:type="dcterms:W3CDTF">2024-06-04T09:18:00Z</dcterms:created>
  <dcterms:modified xsi:type="dcterms:W3CDTF">2024-06-04T19:54:00Z</dcterms:modified>
</cp:coreProperties>
</file>